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after="0" w:line="360" w:lineRule="auto"/>
        <w:ind w:firstLine="629"/>
      </w:pPr>
      <w:bookmarkStart w:id="12" w:name="_GoBack"/>
      <w:bookmarkEnd w:id="12"/>
      <w:r>
        <w:rPr>
          <w:rFonts w:hint="eastAsia"/>
        </w:rPr>
        <w:t>货物服务需求一览表</w:t>
      </w:r>
    </w:p>
    <w:p>
      <w:pPr>
        <w:pStyle w:val="7"/>
        <w:rPr>
          <w:rFonts w:hint="eastAsia" w:ascii="宋体" w:hAnsi="宋体" w:eastAsia="宋体" w:cs="宋体"/>
          <w:lang w:val="en-US" w:eastAsia="zh-CN"/>
        </w:rPr>
      </w:pPr>
      <w:bookmarkStart w:id="0" w:name="_Toc30090"/>
      <w:r>
        <w:rPr>
          <w:rFonts w:hint="eastAsia" w:ascii="宋体" w:hAnsi="宋体" w:eastAsia="宋体" w:cs="宋体"/>
          <w:lang w:val="en-US" w:eastAsia="zh-CN"/>
        </w:rPr>
        <w:t>一、采购需求</w:t>
      </w:r>
      <w:bookmarkEnd w:id="0"/>
    </w:p>
    <w:p>
      <w:pPr>
        <w:pStyle w:val="8"/>
        <w:rPr>
          <w:rFonts w:hint="eastAsia" w:hAnsi="宋体" w:cs="宋体"/>
          <w:bCs w:val="0"/>
          <w:sz w:val="28"/>
          <w:szCs w:val="28"/>
          <w:lang w:val="en-US" w:eastAsia="zh-CN"/>
        </w:rPr>
      </w:pPr>
      <w:bookmarkStart w:id="1" w:name="_Toc32010"/>
      <w:r>
        <w:rPr>
          <w:rFonts w:hint="eastAsia" w:hAnsi="宋体" w:cs="宋体"/>
          <w:bCs w:val="0"/>
          <w:sz w:val="28"/>
          <w:szCs w:val="28"/>
          <w:lang w:val="en-US" w:eastAsia="zh-CN"/>
        </w:rPr>
        <w:t>1.1项目概述</w:t>
      </w:r>
      <w:bookmarkEnd w:id="1"/>
    </w:p>
    <w:p>
      <w:pPr>
        <w:numPr>
          <w:ilvl w:val="0"/>
          <w:numId w:val="1"/>
        </w:numPr>
        <w:spacing w:line="360" w:lineRule="auto"/>
        <w:rPr>
          <w:rFonts w:hint="eastAsia" w:ascii="宋体" w:hAnsi="宋体" w:cs="宋体"/>
          <w:sz w:val="24"/>
          <w:szCs w:val="24"/>
        </w:rPr>
      </w:pPr>
      <w:r>
        <w:rPr>
          <w:rFonts w:hint="eastAsia" w:ascii="宋体" w:hAnsi="宋体" w:cs="宋体"/>
          <w:sz w:val="24"/>
          <w:szCs w:val="24"/>
        </w:rPr>
        <w:t>项目概述：宿州市产业投资控股集团有限公司无纸化会议系统采购项目</w:t>
      </w:r>
    </w:p>
    <w:p>
      <w:pPr>
        <w:numPr>
          <w:ilvl w:val="0"/>
          <w:numId w:val="1"/>
        </w:numPr>
        <w:spacing w:line="360" w:lineRule="auto"/>
        <w:rPr>
          <w:rFonts w:hint="eastAsia" w:ascii="宋体" w:hAnsi="宋体" w:cs="宋体"/>
          <w:sz w:val="24"/>
          <w:szCs w:val="24"/>
        </w:rPr>
      </w:pPr>
      <w:r>
        <w:rPr>
          <w:rFonts w:hint="eastAsia" w:ascii="宋体" w:hAnsi="宋体" w:cs="宋体"/>
          <w:sz w:val="24"/>
          <w:szCs w:val="24"/>
        </w:rPr>
        <w:t>项目概述：新建</w:t>
      </w:r>
    </w:p>
    <w:p>
      <w:pPr>
        <w:numPr>
          <w:ilvl w:val="0"/>
          <w:numId w:val="1"/>
        </w:numPr>
        <w:spacing w:line="360" w:lineRule="auto"/>
        <w:rPr>
          <w:rFonts w:hint="eastAsia" w:ascii="宋体" w:hAnsi="宋体" w:cs="宋体"/>
          <w:sz w:val="24"/>
          <w:szCs w:val="24"/>
        </w:rPr>
      </w:pPr>
      <w:r>
        <w:rPr>
          <w:rFonts w:hint="eastAsia" w:ascii="宋体" w:hAnsi="宋体" w:cs="宋体"/>
          <w:sz w:val="24"/>
          <w:szCs w:val="24"/>
        </w:rPr>
        <w:t>项目建设单位基本情况：</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宿州市产业投资控股集团有限公司（下称“宿州产投集团”）是根据中共宿州市委全面深化改革委员会《关于开展市属企业新一轮战略性重组和专业化整合的实施方案》要求，在原宿州市工业投资集团有限公司基础上对市属国有资产和资源进行新一轮整合，于2022年10月组建成立，注册资本6.32亿元。公司本部设“六部二室”，现拥有子公司48家，其中全资子公司24家、参股子公司24家。</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宿州产投集团以产业投资、资本运营为核心，定位于宿州市产业投融资和创新推进的国有资本运营公司，以“支持地方实体经济、促进产业转型升级、优化创新创业生态”为己任，恪守“产业为本、投资为器、创新为魂”的发展理念，聚合资源、聚集动力、聚焦效能，通过产业投资、产业运营、产业金融、创新平台等板块，全面服务实体经济，铸就宿州产业脊梁。</w:t>
      </w:r>
    </w:p>
    <w:p>
      <w:pPr>
        <w:pStyle w:val="8"/>
        <w:rPr>
          <w:rFonts w:hint="eastAsia" w:hAnsi="宋体" w:cs="宋体"/>
          <w:bCs w:val="0"/>
          <w:sz w:val="28"/>
          <w:szCs w:val="28"/>
          <w:lang w:val="en-US" w:eastAsia="zh-CN"/>
        </w:rPr>
      </w:pPr>
      <w:bookmarkStart w:id="2" w:name="_Toc31300"/>
      <w:r>
        <w:rPr>
          <w:rFonts w:hint="eastAsia" w:hAnsi="宋体" w:cs="宋体"/>
          <w:bCs w:val="0"/>
          <w:sz w:val="28"/>
          <w:szCs w:val="28"/>
          <w:lang w:val="en-US" w:eastAsia="zh-CN"/>
        </w:rPr>
        <w:t>1.2建设目标及主要建设内容</w:t>
      </w:r>
      <w:bookmarkEnd w:id="2"/>
    </w:p>
    <w:p>
      <w:pPr>
        <w:spacing w:line="360" w:lineRule="auto"/>
        <w:ind w:firstLine="480" w:firstLineChars="200"/>
        <w:rPr>
          <w:rFonts w:hint="eastAsia" w:ascii="宋体" w:hAnsi="宋体" w:cs="宋体"/>
          <w:sz w:val="24"/>
          <w:szCs w:val="24"/>
        </w:rPr>
      </w:pPr>
      <w:bookmarkStart w:id="3" w:name="_Toc511899298"/>
      <w:bookmarkEnd w:id="3"/>
      <w:r>
        <w:rPr>
          <w:rFonts w:hint="eastAsia" w:ascii="宋体" w:hAnsi="宋体" w:cs="宋体"/>
          <w:sz w:val="24"/>
          <w:szCs w:val="24"/>
        </w:rPr>
        <w:t>为实现宿州产投集团召开会议时的材料无纸化功能，提高数字化服务效能，全面推进办公运行方式，业务流程和服务模式的数字化智能化，加快构建数字技术辅助决策，优化集约保障，创新运行保障模式，采用新技术，新手段减少办公耗材用量，节约资源，保护环境等。为满足上述功能，需提供基于无线网络的无纸化会议系统，包括网络系统、系统平台建设以及终端软件部署等服务。</w:t>
      </w:r>
    </w:p>
    <w:p>
      <w:pPr>
        <w:pStyle w:val="8"/>
        <w:rPr>
          <w:rFonts w:hint="eastAsia" w:hAnsi="宋体" w:cs="宋体"/>
          <w:bCs w:val="0"/>
          <w:sz w:val="28"/>
          <w:szCs w:val="28"/>
          <w:lang w:val="en-US" w:eastAsia="zh-CN"/>
        </w:rPr>
      </w:pPr>
      <w:bookmarkStart w:id="4" w:name="_Toc17496"/>
      <w:r>
        <w:rPr>
          <w:rFonts w:hint="eastAsia" w:hAnsi="宋体" w:cs="宋体"/>
          <w:bCs w:val="0"/>
          <w:sz w:val="28"/>
          <w:szCs w:val="28"/>
          <w:lang w:val="en-US" w:eastAsia="zh-CN"/>
        </w:rPr>
        <w:t>1.3项目解决的主要问题</w:t>
      </w:r>
      <w:bookmarkEnd w:id="4"/>
    </w:p>
    <w:p>
      <w:pPr>
        <w:spacing w:line="360" w:lineRule="auto"/>
        <w:ind w:firstLine="480" w:firstLineChars="200"/>
        <w:rPr>
          <w:rFonts w:hint="eastAsia" w:ascii="宋体" w:hAnsi="宋体" w:cs="宋体"/>
          <w:sz w:val="24"/>
          <w:szCs w:val="24"/>
        </w:rPr>
      </w:pPr>
      <w:r>
        <w:rPr>
          <w:rFonts w:hint="eastAsia" w:ascii="宋体" w:hAnsi="宋体" w:cs="宋体"/>
          <w:sz w:val="24"/>
          <w:szCs w:val="24"/>
        </w:rPr>
        <w:t>通过部署无线无纸化会议系统，可提高数字化服务效能，全面推进办公运行方式，业务流程和服务模式的数字化智能化，加快构建数字技术辅助决策，优化集约保障，创新运行保障模式，采用新技术，新手段减少办公耗材用量，节约资源，保护环境。</w:t>
      </w:r>
    </w:p>
    <w:p>
      <w:pPr>
        <w:pStyle w:val="8"/>
        <w:rPr>
          <w:rFonts w:hint="eastAsia" w:hAnsi="宋体" w:cs="宋体"/>
          <w:bCs w:val="0"/>
          <w:sz w:val="28"/>
          <w:szCs w:val="28"/>
          <w:lang w:val="en-US" w:eastAsia="zh-CN"/>
        </w:rPr>
      </w:pPr>
      <w:bookmarkStart w:id="5" w:name="_Toc27146"/>
      <w:r>
        <w:rPr>
          <w:rFonts w:hint="eastAsia" w:hAnsi="宋体" w:cs="宋体"/>
          <w:bCs w:val="0"/>
          <w:sz w:val="28"/>
          <w:szCs w:val="28"/>
          <w:lang w:val="en-US" w:eastAsia="zh-CN"/>
        </w:rPr>
        <w:t>1.4项目预期成效</w:t>
      </w:r>
      <w:bookmarkEnd w:id="5"/>
    </w:p>
    <w:p>
      <w:pPr>
        <w:spacing w:line="360" w:lineRule="auto"/>
        <w:ind w:firstLine="480" w:firstLineChars="200"/>
        <w:rPr>
          <w:rFonts w:hint="eastAsia" w:ascii="宋体" w:hAnsi="宋体" w:cs="宋体"/>
          <w:sz w:val="24"/>
          <w:szCs w:val="24"/>
        </w:rPr>
      </w:pPr>
      <w:r>
        <w:rPr>
          <w:rFonts w:hint="eastAsia" w:ascii="宋体" w:hAnsi="宋体" w:cs="宋体"/>
          <w:sz w:val="24"/>
          <w:szCs w:val="24"/>
        </w:rPr>
        <w:t>无纸化会议系统能够将会议材料电子化，对不同的议题进行分类整理和显示，参会人员可根据需要自由查阅和批注相关文档，并可保存在平板电脑中，方便随时查阅。提高会议效率，节约纸张，保护环境。</w:t>
      </w:r>
    </w:p>
    <w:p>
      <w:pPr>
        <w:pStyle w:val="8"/>
        <w:rPr>
          <w:rFonts w:hint="eastAsia" w:hAnsi="宋体" w:cs="宋体"/>
          <w:bCs w:val="0"/>
          <w:sz w:val="28"/>
          <w:szCs w:val="28"/>
          <w:lang w:val="en-US" w:eastAsia="zh-CN"/>
        </w:rPr>
      </w:pPr>
      <w:bookmarkStart w:id="6" w:name="_Toc20888"/>
      <w:r>
        <w:rPr>
          <w:rFonts w:hint="eastAsia" w:hAnsi="宋体" w:cs="宋体"/>
          <w:bCs w:val="0"/>
          <w:sz w:val="28"/>
          <w:szCs w:val="28"/>
          <w:lang w:val="en-US" w:eastAsia="zh-CN"/>
        </w:rPr>
        <w:t>1.5项目规模和建设周期及质保要求</w:t>
      </w:r>
      <w:bookmarkEnd w:id="6"/>
    </w:p>
    <w:p>
      <w:pPr>
        <w:spacing w:line="360" w:lineRule="auto"/>
        <w:ind w:firstLine="480" w:firstLineChars="200"/>
        <w:rPr>
          <w:rFonts w:hint="eastAsia" w:ascii="宋体" w:hAnsi="宋体" w:cs="宋体"/>
          <w:sz w:val="24"/>
          <w:szCs w:val="24"/>
        </w:rPr>
      </w:pPr>
      <w:r>
        <w:rPr>
          <w:rFonts w:hint="eastAsia" w:ascii="宋体" w:hAnsi="宋体" w:cs="宋体"/>
          <w:sz w:val="24"/>
          <w:szCs w:val="24"/>
        </w:rPr>
        <w:t>1.项目内容：建设基于无线网络的无纸化会议系统，包括网络系统、系统平台建设以及终端软件部署等服务；</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2.项目建设周期：90天；</w:t>
      </w:r>
    </w:p>
    <w:p>
      <w:pPr>
        <w:spacing w:line="360" w:lineRule="auto"/>
        <w:ind w:firstLine="480" w:firstLineChars="200"/>
        <w:rPr>
          <w:rFonts w:hint="eastAsia" w:ascii="宋体" w:hAnsi="宋体" w:cs="宋体"/>
          <w:b/>
          <w:bCs/>
          <w:szCs w:val="31"/>
        </w:rPr>
      </w:pPr>
      <w:r>
        <w:rPr>
          <w:rFonts w:hint="eastAsia" w:ascii="宋体" w:hAnsi="宋体" w:cs="宋体"/>
          <w:sz w:val="24"/>
          <w:szCs w:val="24"/>
        </w:rPr>
        <w:t>3、项目质保要求：3年；</w:t>
      </w:r>
    </w:p>
    <w:p>
      <w:pPr>
        <w:pStyle w:val="7"/>
        <w:rPr>
          <w:rFonts w:hint="eastAsia" w:ascii="宋体" w:hAnsi="宋体" w:eastAsia="宋体" w:cs="宋体"/>
          <w:lang w:val="en-US" w:eastAsia="zh-CN"/>
        </w:rPr>
      </w:pPr>
      <w:bookmarkStart w:id="7" w:name="_Toc511899299"/>
      <w:bookmarkEnd w:id="7"/>
      <w:bookmarkStart w:id="8" w:name="_Toc9134"/>
      <w:r>
        <w:rPr>
          <w:rFonts w:hint="eastAsia" w:ascii="宋体" w:hAnsi="宋体" w:eastAsia="宋体" w:cs="宋体"/>
          <w:lang w:val="en-US" w:eastAsia="zh-CN"/>
        </w:rPr>
        <w:t>二、相关技术要求</w:t>
      </w:r>
      <w:bookmarkEnd w:id="8"/>
    </w:p>
    <w:p>
      <w:pPr>
        <w:pStyle w:val="8"/>
        <w:rPr>
          <w:rFonts w:hint="eastAsia" w:hAnsi="宋体" w:cs="宋体"/>
          <w:bCs w:val="0"/>
          <w:sz w:val="28"/>
          <w:szCs w:val="28"/>
          <w:lang w:val="en-US" w:eastAsia="zh-CN"/>
        </w:rPr>
      </w:pPr>
      <w:bookmarkStart w:id="9" w:name="_Toc6936"/>
      <w:r>
        <w:rPr>
          <w:rFonts w:hint="eastAsia" w:hAnsi="宋体" w:cs="宋体"/>
          <w:bCs w:val="0"/>
          <w:sz w:val="28"/>
          <w:szCs w:val="28"/>
          <w:lang w:val="en-US" w:eastAsia="zh-CN"/>
        </w:rPr>
        <w:t>2.1、软件部分技术要求</w:t>
      </w:r>
      <w:bookmarkEnd w:id="9"/>
    </w:p>
    <w:tbl>
      <w:tblPr>
        <w:tblStyle w:val="9"/>
        <w:tblW w:w="535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155"/>
        <w:gridCol w:w="5492"/>
        <w:gridCol w:w="835"/>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49" w:type="pct"/>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序号</w:t>
            </w:r>
          </w:p>
        </w:tc>
        <w:tc>
          <w:tcPr>
            <w:tcW w:w="633" w:type="pct"/>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应用模</w:t>
            </w:r>
          </w:p>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块功能</w:t>
            </w:r>
          </w:p>
        </w:tc>
        <w:tc>
          <w:tcPr>
            <w:tcW w:w="3009" w:type="pct"/>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功能说明</w:t>
            </w:r>
          </w:p>
        </w:tc>
        <w:tc>
          <w:tcPr>
            <w:tcW w:w="458" w:type="pct"/>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数量</w:t>
            </w:r>
          </w:p>
        </w:tc>
        <w:tc>
          <w:tcPr>
            <w:tcW w:w="548" w:type="pct"/>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49" w:type="pct"/>
            <w:noWrap/>
            <w:vAlign w:val="center"/>
          </w:tcPr>
          <w:p>
            <w:pPr>
              <w:widowControl/>
              <w:jc w:val="center"/>
              <w:textAlignment w:val="center"/>
              <w:rPr>
                <w:rFonts w:hint="eastAsia" w:ascii="宋体" w:hAnsi="宋体" w:cs="宋体"/>
                <w:color w:val="000000"/>
                <w:szCs w:val="21"/>
              </w:rPr>
            </w:pPr>
            <w:r>
              <w:rPr>
                <w:rFonts w:hint="eastAsia" w:cs="宋体"/>
                <w:color w:val="000000"/>
                <w:kern w:val="0"/>
                <w:szCs w:val="21"/>
                <w:lang w:bidi="ar"/>
              </w:rPr>
              <w:t>1</w:t>
            </w:r>
          </w:p>
        </w:tc>
        <w:tc>
          <w:tcPr>
            <w:tcW w:w="633" w:type="pct"/>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无纸化系统服务器软件</w:t>
            </w:r>
          </w:p>
        </w:tc>
        <w:tc>
          <w:tcPr>
            <w:tcW w:w="3009" w:type="pct"/>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1.功能菜单分层级展示，支持一键折叠/展开，支持以极简图标展示功能项。支持已打开页面切换。</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2.在登录之前或者登录之后，用户都可以随意切换界面所使用的语言。语言切换流畅，不会出现整个页面闪烁等不良体验。</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3.支持设置终端网络浏览默认主页、备用主页、常用网址列表等。支持设置短信、邮件、微信等多种通知方式，可自行定制邮件通知模板样式。可设置强密码验证模式。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4.支持选择某台终端、某几台终端、某会议室所有终端、所有终端等不同目标的升降客户端在线升级操作。支持其他终端软件升级和服务端升级。</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5.支持自定义多种投票模板、评分模板。模板可在创建投票、评分时直接使用。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支持对系统用户角色、会议用户角色进行管理，支持树状无限层级的组织架构管理、人员管理。支持部门主管设置，可快速调整人员组织信息。支持姓名或员工号搜索人员、显示某部门所有人员。支持创建参会人快捷分组，用于快速建会。</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7.支持设置会议室预定审批人，可指定一位或多位审核人员。也支持高级管理员直接免审批建会。</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8.支持导入自定义的会议室背景图。支持拖动摆放座位位置，并可以360度调整座位的朝向，支持程序自动辅助对齐操作。</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9.支持创建会议模板，用户可灵活定制建会步骤，也支持党委会等常用会议模板。支持默认会议模板和备用模板设置。</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10.支持创建以周、月等为周期的会议。支持临时取消下一次周期会议，而不影响后续会议的召开。</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11.支持从组织架构、快捷分组、文件批量导入参会人，也支持创建临时参会人。支持指定部门的人员自主报名参会（须开通微信功能），系统自动通知、分发报名码，并支持报名人验证。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12.支持系统自动排位、手动排位。手动排位可在座位图中直接拖动参会人，交换座位或插入座位。</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13.会议支持各种常见的办公文档格式（doc、docx、xls、xlsx、ppt、pptx、wps、et、dps、pdf等），支持png、jpg、gif等多种图片格式，支持全格式视频文件。支持任意多级资料目录。</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14.支持网页、客户端上传文件、文件夹。支持上传压缩包并自解压。实时显示资料后台处理状态。支持设置议题、文件夹、文件的查阅权限，支持一键清除议题。</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15.支持议题、文件智能前导序号排序，可适应中文数字、阿拉伯数字等，支持自行添加排序前导文字，也支持手动拖动排序。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16.支持会议归档，可归档签到表、投票结果、评分结果、会议资料等内容，可指定不归档批注、合并归档批注、人员批注独立归档等归档策略。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17.支持参会人会前阅览，支持会前对文档资料进行个人批注，会中可查看会前批注。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18.支持在会议终端、门牌、综合屏等终端上实时播放公告。可设置公告样式、指定播放模式、设置语音播报，支持指定批量设备或单一设备播放。</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19.支持会议大数据统计，包括今日会议预约、当前预约、结束的会议、等待开始的会议等。支持按时段统计会议室使用情况，并以图形化方式展示。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20.后台服务软件支持服务器双机热备（无需借助第三方热备份软件），并支持与办公OA等外部系统对接。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21.强密码:支持修改个人密码。系统可启用强密码验证功能，开启后不允许使用弱密码。系统支持强密码验证功能，开启此项设置后，弱密码将不允许使用。支持设置用户默认密码，创建用户时将使用此密码作为其初始默认密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★22.会议通知:支持设置短信、邮件、微信等多种通知方式。支持导入自己喜欢的邮件通知模板样式（html 格式），并支持预览邮件通知的样式。（须提供具有CNAS、ilac-MRA标识的第三方检测报告）</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23.自主报名:在各部门参会人不能确定的情况下，管理员可以使用自主报名功能。会议管理员可以添加参会部门，系统将通过短信或微信的方式自动向该主管发送会议报名通知。支持会议管理员一键复制报名码，将报名码粘贴到微信群、QQ 群等常用通信工具中，以便组织成员自主报名。（须提供具有CNAS、ilac-MRA标识的第三方检测报告）</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★24.会议审批:当需要审批的会议室创建会议后，审批管理员可以选择审批通过或驳回，并给出审批理由。（须提供具有CNAS、ilac-MRA标识的第三方检测报告）</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★25.会议管理：用户登录后台后可以在“我参加的会议”中查看所有自己参加的会议，并支持按日期、关键字搜索会议。（须提供具有CNAS、ilac-MRA标识的第三方检测报告）</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★26.信息加密:对用户密码、服务器存储的文件进行加密，加密支持国密 SM3/SM4 等加密算法。（须提供具有CNAS、ilac-MRA标识的第三方检测报告）</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27.会议统计：支持查看已预约、进行中、已结束的会议统计信息。支持以柱状图形式查看当日会议室的预约数量，支持以饼状图查看当日会议室的预定时间和空闲时间的占比情况等。支持按当日、本月、本年度、全部、指定起止时间等多种方式统计会议室使用情况，支持以柱状图形式展示各会议室的使用次数信息。（须提供具有CNAS、ilac-MRA标识的第三方检测报告）</w:t>
            </w:r>
          </w:p>
        </w:tc>
        <w:tc>
          <w:tcPr>
            <w:tcW w:w="458" w:type="pct"/>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548" w:type="pct"/>
            <w:noWrap/>
            <w:vAlign w:val="center"/>
          </w:tcPr>
          <w:p>
            <w:pPr>
              <w:widowControl/>
              <w:jc w:val="center"/>
              <w:textAlignment w:val="center"/>
              <w:rPr>
                <w:rFonts w:hint="eastAsia" w:ascii="宋体" w:hAnsi="宋体" w:cs="宋体"/>
                <w:color w:val="000000"/>
                <w:szCs w:val="21"/>
              </w:rPr>
            </w:pPr>
            <w:r>
              <w:rPr>
                <w:rFonts w:hint="eastAsia" w:cs="宋体"/>
                <w:color w:val="000000"/>
                <w:kern w:val="0"/>
                <w:szCs w:val="21"/>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49" w:type="pct"/>
            <w:noWrap/>
            <w:vAlign w:val="center"/>
          </w:tcPr>
          <w:p>
            <w:pPr>
              <w:widowControl/>
              <w:jc w:val="center"/>
              <w:textAlignment w:val="center"/>
              <w:rPr>
                <w:rFonts w:hint="eastAsia" w:ascii="宋体" w:hAnsi="宋体" w:cs="宋体"/>
                <w:color w:val="000000"/>
                <w:szCs w:val="21"/>
              </w:rPr>
            </w:pPr>
            <w:r>
              <w:rPr>
                <w:rFonts w:hint="eastAsia" w:cs="宋体"/>
                <w:color w:val="000000"/>
                <w:kern w:val="0"/>
                <w:szCs w:val="21"/>
                <w:lang w:bidi="ar"/>
              </w:rPr>
              <w:t>2</w:t>
            </w:r>
          </w:p>
        </w:tc>
        <w:tc>
          <w:tcPr>
            <w:tcW w:w="633" w:type="pct"/>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无纸化客户端软件</w:t>
            </w:r>
          </w:p>
        </w:tc>
        <w:tc>
          <w:tcPr>
            <w:tcW w:w="3009" w:type="pct"/>
            <w:noWrap/>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1.包含16个无纸化客户端软件</w:t>
            </w:r>
            <w:r>
              <w:rPr>
                <w:rFonts w:hint="eastAsia" w:cs="宋体"/>
                <w:color w:val="000000"/>
                <w:kern w:val="0"/>
                <w:szCs w:val="21"/>
                <w:lang w:bidi="ar"/>
              </w:rPr>
              <w:t>；</w:t>
            </w:r>
            <w:r>
              <w:rPr>
                <w:rFonts w:hint="eastAsia" w:ascii="宋体" w:hAnsi="宋体" w:cs="宋体"/>
                <w:color w:val="000000"/>
                <w:kern w:val="0"/>
                <w:szCs w:val="21"/>
                <w:lang w:bidi="ar"/>
              </w:rPr>
              <w:t>支持按座号、用户名/密码、会议列表等多种入会方式。支持入会密码验证。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2.根据会议内容智能展示会议功能模块，对于议题讨论会，入会后直接展示会议议题。</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★3.动态显示</w:t>
            </w:r>
            <w:r>
              <w:rPr>
                <w:rFonts w:hint="eastAsia" w:cs="宋体"/>
                <w:color w:val="000000"/>
                <w:kern w:val="0"/>
                <w:szCs w:val="21"/>
                <w:lang w:bidi="ar"/>
              </w:rPr>
              <w:t>任务进度</w:t>
            </w:r>
            <w:r>
              <w:rPr>
                <w:rFonts w:hint="eastAsia" w:ascii="宋体" w:hAnsi="宋体" w:cs="宋体"/>
                <w:color w:val="000000"/>
                <w:kern w:val="0"/>
                <w:szCs w:val="21"/>
                <w:lang w:bidi="ar"/>
              </w:rPr>
              <w:t>：支持动态显示本会议需要完成的任务进度情况。（须提供具有CNAS、ilac-MRA标识的第三方检测报告）</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4.支持原笔迹签到，笔迹支持水墨效果。主持人控制签到，查看签到情况并催签。</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5.支持多议题列表展示。议题和议题附件以树状目录展示，议题附件支持任意多级目录结构。</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6.议题/文件夹/文件支持智能的前导序号排序。支持按设置的排序前导文字自动排序、按手动排序。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7.主持人可以控制议题开始、结束。会议门牌联动显示议题进行状况，并进行语音播报。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支持审阅各种常见的办公文档格式（doc、docx、xls、xlsx、ppt、pptx、wps、et、dps、pdf等），支持png、jpg、gif等多种图片格式，支持全格式视频文件。用户可以通过配置自主扩展支持的文件格式，比如CAD、各类电子书等。</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9.支持显示当前议题、当前文件。支持已打开文件最小化功能，可快速切换已打开文件。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10.支持office文件以原格式打开或内置格式打开，用户可以根据喜好自由设置。</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11.支持手写批注、文本批注、矩形批注、椭圆批注等多种批注形式。对于不涉密文档，参会人可另存到本地，也可手机扫码带走，文档自带个人批注。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12.视频、流媒体支持任意界面上浮窗播放，并支持播放窗口大小、位置调整。</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13.支持任意界面发起同屏演示功能，文档、视频等内容均可以通过一致的操作方式一键同屏到大屏或其他客户端。演示者在主讲期间，可以对文档进行批注，也可用荧光笔自由写画。</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14.支持跟随者在观看过程中进行共同批注、翻页、缩放等操作。跟随画面可在任意界面以浮窗形式观看。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15.支持主持界面直接创建投票和评分。支持投票模板、评分模板。评分功能支持多对象评比，支持评分维度设置等。</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16.支持横框、飘窗、弹窗等形式的会议公告，自动进行公告确认提醒。</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17.主持人功能：支持主持人远程协助参会人进行切换页面、打开文件、开始/结束演示等会议操作。主持人控制投票开放/关闭、协助发起与停止演示、打开文档。支持主持人托管模式，主持人一个人可以托管整个会议室的操作，领导免操作。控制签到，一键签到投屏、控制所有参会者统一切换到具体的功能界面等。（须提供具有CNAS、ilac-MRA标识的第三方检测报告）</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18.支持会议间休。间休时所有客户端进入间休屏保。参会人可双击或凭借会议密码结束本机间休。支持会议延时或提前结束。</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19.主持人可对会议“一键重置”，以清除会议预演期间产生的所有无效数据。</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20.支持以任务卡形式展示本会议任务。参会人可以随意在多个任务、会议议题之间切换。任务卡上直接展示任务中断时画面，切换后直接进入上次任务的界面现场。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21.支持浮动按钮形式的工具集。工具集包括演示、跟随、荧光笔、会议笔记、电子白板、交流提示、呼叫服务、网络浏览、U盘导入、计算器、计时器等。工具可在任意界面或Windows桌面中使用。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22.可随时呼出会议笔记，笔记以浮窗展示。可将截屏内容导入笔记。笔记支持扫码带走。</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23.可随时呼出交互式电子白板。可以使用手写涂鸦、文字输入、插入图片等方式在白板上输入。支持白板定向邀请。</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★24.保密水印:支持保密等级较高的会议开启保密水印。文档资料阅览时会在全屏范围内进行水印保护。（须提供具有CNAS、ilac-MRA标识的第三方检测报告）</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★25.数据清理：会议结束或参会人退出会议后，缓存到本地的会议资料自动焚毁，确保会议资料安全。（须提供具有CNAS、ilac-MRA标识的第三方检测报告）</w:t>
            </w:r>
          </w:p>
        </w:tc>
        <w:tc>
          <w:tcPr>
            <w:tcW w:w="458" w:type="pct"/>
            <w:noWrap/>
            <w:vAlign w:val="center"/>
          </w:tcPr>
          <w:p>
            <w:pPr>
              <w:widowControl/>
              <w:jc w:val="center"/>
              <w:textAlignment w:val="center"/>
              <w:rPr>
                <w:rFonts w:hint="eastAsia" w:ascii="宋体" w:hAnsi="宋体" w:cs="宋体"/>
                <w:color w:val="000000"/>
                <w:szCs w:val="21"/>
              </w:rPr>
            </w:pPr>
            <w:r>
              <w:rPr>
                <w:rFonts w:hint="eastAsia" w:cs="宋体"/>
                <w:color w:val="000000"/>
                <w:kern w:val="0"/>
                <w:szCs w:val="21"/>
                <w:lang w:bidi="ar"/>
              </w:rPr>
              <w:t>1</w:t>
            </w:r>
          </w:p>
        </w:tc>
        <w:tc>
          <w:tcPr>
            <w:tcW w:w="548" w:type="pct"/>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49" w:type="pct"/>
            <w:noWrap/>
            <w:vAlign w:val="center"/>
          </w:tcPr>
          <w:p>
            <w:pPr>
              <w:widowControl/>
              <w:jc w:val="center"/>
              <w:textAlignment w:val="center"/>
              <w:rPr>
                <w:rFonts w:cs="宋体"/>
                <w:color w:val="000000"/>
                <w:kern w:val="0"/>
                <w:szCs w:val="21"/>
                <w:lang w:bidi="ar"/>
              </w:rPr>
            </w:pPr>
            <w:r>
              <w:rPr>
                <w:rFonts w:hint="eastAsia" w:cs="宋体"/>
                <w:color w:val="000000"/>
                <w:kern w:val="0"/>
                <w:szCs w:val="21"/>
                <w:lang w:bidi="ar"/>
              </w:rPr>
              <w:t>3</w:t>
            </w:r>
          </w:p>
        </w:tc>
        <w:tc>
          <w:tcPr>
            <w:tcW w:w="633" w:type="pct"/>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专线</w:t>
            </w:r>
          </w:p>
        </w:tc>
        <w:tc>
          <w:tcPr>
            <w:tcW w:w="3009" w:type="pct"/>
            <w:noWrap/>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200M</w:t>
            </w:r>
          </w:p>
        </w:tc>
        <w:tc>
          <w:tcPr>
            <w:tcW w:w="458" w:type="pct"/>
            <w:noWrap/>
            <w:vAlign w:val="center"/>
          </w:tcPr>
          <w:p>
            <w:pPr>
              <w:widowControl/>
              <w:jc w:val="center"/>
              <w:textAlignment w:val="center"/>
              <w:rPr>
                <w:rFonts w:cs="宋体"/>
                <w:color w:val="000000"/>
                <w:kern w:val="0"/>
                <w:szCs w:val="21"/>
                <w:lang w:bidi="ar"/>
              </w:rPr>
            </w:pPr>
            <w:r>
              <w:rPr>
                <w:rFonts w:hint="eastAsia" w:cs="宋体"/>
                <w:color w:val="000000"/>
                <w:kern w:val="0"/>
                <w:szCs w:val="21"/>
                <w:lang w:bidi="ar"/>
              </w:rPr>
              <w:t>1</w:t>
            </w:r>
          </w:p>
        </w:tc>
        <w:tc>
          <w:tcPr>
            <w:tcW w:w="548" w:type="pct"/>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条</w:t>
            </w:r>
          </w:p>
        </w:tc>
      </w:tr>
    </w:tbl>
    <w:p>
      <w:pPr>
        <w:rPr>
          <w:rFonts w:hint="eastAsia"/>
        </w:rPr>
      </w:pPr>
    </w:p>
    <w:p>
      <w:pPr>
        <w:pStyle w:val="8"/>
        <w:rPr>
          <w:rFonts w:hint="eastAsia" w:hAnsi="宋体" w:cs="宋体"/>
          <w:lang w:val="en-US" w:eastAsia="zh-CN"/>
        </w:rPr>
      </w:pPr>
      <w:bookmarkStart w:id="10" w:name="_Toc5125"/>
      <w:r>
        <w:rPr>
          <w:rFonts w:hint="eastAsia" w:hAnsi="宋体" w:cs="宋体"/>
          <w:lang w:val="en-US" w:eastAsia="zh-CN"/>
        </w:rPr>
        <w:t>2.2、硬件部分技术要求</w:t>
      </w:r>
      <w:bookmarkEnd w:id="10"/>
    </w:p>
    <w:tbl>
      <w:tblPr>
        <w:tblStyle w:val="9"/>
        <w:tblW w:w="527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1156"/>
        <w:gridCol w:w="5492"/>
        <w:gridCol w:w="85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48" w:type="pct"/>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序号</w:t>
            </w:r>
          </w:p>
        </w:tc>
        <w:tc>
          <w:tcPr>
            <w:tcW w:w="642" w:type="pct"/>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设备名称</w:t>
            </w:r>
          </w:p>
        </w:tc>
        <w:tc>
          <w:tcPr>
            <w:tcW w:w="3051" w:type="pct"/>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技术参数</w:t>
            </w:r>
          </w:p>
        </w:tc>
        <w:tc>
          <w:tcPr>
            <w:tcW w:w="477" w:type="pct"/>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数量</w:t>
            </w:r>
          </w:p>
        </w:tc>
        <w:tc>
          <w:tcPr>
            <w:tcW w:w="480" w:type="pct"/>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48" w:type="pct"/>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642" w:type="pct"/>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无纸化后台管理服务器</w:t>
            </w:r>
          </w:p>
        </w:tc>
        <w:tc>
          <w:tcPr>
            <w:tcW w:w="3051" w:type="pct"/>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1.4U工业级上架式专用机箱，铝合金面板，低噪音低功耗设计，I7处理器、8G 内存、1T硬盘，自带10寸液晶显示屏，方便工程调试及状态监控；</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2.支持网络的连接通讯，支持会议管理功能；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3.支持维护数据库，监测终端,安全涉密性强；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4.最多同时支持200台终端。支持无人值守工作模式，可通过客户端或Web端登陆访问；</w:t>
            </w:r>
          </w:p>
        </w:tc>
        <w:tc>
          <w:tcPr>
            <w:tcW w:w="477" w:type="pct"/>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480" w:type="pct"/>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48" w:type="pct"/>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642" w:type="pct"/>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投影服务器</w:t>
            </w:r>
          </w:p>
        </w:tc>
        <w:tc>
          <w:tcPr>
            <w:tcW w:w="3051" w:type="pct"/>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1.支持接收多台客户端的投影请求显示，支持遵循先入先出的投影显示模式。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2.静态显示界面可定制。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3.自动提示信号来源，包括：投影者姓名、外部电脑编号、互动大屏幕等。</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4.支持自适应投影分辨率，支持强制输出分辨率。</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5.在签到或是投票、评分时，投影界面支持操作实时显示签到和投票、评分的统计数据。</w:t>
            </w:r>
          </w:p>
        </w:tc>
        <w:tc>
          <w:tcPr>
            <w:tcW w:w="477" w:type="pct"/>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480" w:type="pct"/>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48" w:type="pct"/>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642" w:type="pct"/>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无线触摸平板</w:t>
            </w:r>
          </w:p>
        </w:tc>
        <w:tc>
          <w:tcPr>
            <w:tcW w:w="3051" w:type="pct"/>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1.CPU：主频≥2.04 GHz、核心数量≥8核；</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2.屏幕尺寸：≥12.6英寸；</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3.分辨率：2560×1600；</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4.ROM：≥8GB；</w:t>
            </w:r>
          </w:p>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5.RAM：≥256GB；</w:t>
            </w:r>
          </w:p>
        </w:tc>
        <w:tc>
          <w:tcPr>
            <w:tcW w:w="477" w:type="pct"/>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w:t>
            </w:r>
          </w:p>
        </w:tc>
        <w:tc>
          <w:tcPr>
            <w:tcW w:w="480" w:type="pct"/>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48" w:type="pct"/>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642" w:type="pct"/>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手写笔</w:t>
            </w:r>
          </w:p>
        </w:tc>
        <w:tc>
          <w:tcPr>
            <w:tcW w:w="3051" w:type="pct"/>
            <w:noWrap w:val="0"/>
            <w:vAlign w:val="center"/>
          </w:tcPr>
          <w:p>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1.平板配套手写笔；</w:t>
            </w:r>
          </w:p>
        </w:tc>
        <w:tc>
          <w:tcPr>
            <w:tcW w:w="477" w:type="pct"/>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w:t>
            </w:r>
          </w:p>
        </w:tc>
        <w:tc>
          <w:tcPr>
            <w:tcW w:w="480" w:type="pct"/>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48" w:type="pct"/>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642" w:type="pct"/>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保护套</w:t>
            </w:r>
          </w:p>
        </w:tc>
        <w:tc>
          <w:tcPr>
            <w:tcW w:w="3051" w:type="pct"/>
            <w:noWrap w:val="0"/>
            <w:vAlign w:val="center"/>
          </w:tcPr>
          <w:p>
            <w:pPr>
              <w:widowControl/>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1.无线平板保护套，具有手写笔封套设计；</w:t>
            </w:r>
          </w:p>
          <w:p>
            <w:pPr>
              <w:widowControl/>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2.内置磁石自动吸附，保护更严密；</w:t>
            </w:r>
          </w:p>
          <w:p>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3.含磁吸键盘；</w:t>
            </w:r>
          </w:p>
        </w:tc>
        <w:tc>
          <w:tcPr>
            <w:tcW w:w="477" w:type="pct"/>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w:t>
            </w:r>
          </w:p>
        </w:tc>
        <w:tc>
          <w:tcPr>
            <w:tcW w:w="480" w:type="pct"/>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48" w:type="pct"/>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642" w:type="pct"/>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PAD充电柜</w:t>
            </w:r>
          </w:p>
        </w:tc>
        <w:tc>
          <w:tcPr>
            <w:tcW w:w="3051" w:type="pct"/>
            <w:noWrap w:val="0"/>
            <w:vAlign w:val="center"/>
          </w:tcPr>
          <w:p>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1.支持不少于20个PAD集中充电；</w:t>
            </w:r>
          </w:p>
        </w:tc>
        <w:tc>
          <w:tcPr>
            <w:tcW w:w="477" w:type="pct"/>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480" w:type="pct"/>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48" w:type="pct"/>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w:t>
            </w:r>
          </w:p>
        </w:tc>
        <w:tc>
          <w:tcPr>
            <w:tcW w:w="642" w:type="pct"/>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AC控制器</w:t>
            </w:r>
          </w:p>
        </w:tc>
        <w:tc>
          <w:tcPr>
            <w:tcW w:w="3051" w:type="pct"/>
            <w:noWrap w:val="0"/>
            <w:vAlign w:val="top"/>
          </w:tcPr>
          <w:p>
            <w:pPr>
              <w:widowControl/>
              <w:jc w:val="left"/>
              <w:textAlignment w:val="top"/>
              <w:rPr>
                <w:rFonts w:hint="eastAsia" w:ascii="宋体" w:hAnsi="宋体" w:cs="宋体"/>
                <w:color w:val="000000"/>
                <w:szCs w:val="21"/>
              </w:rPr>
            </w:pPr>
            <w:r>
              <w:rPr>
                <w:rFonts w:hint="eastAsia" w:ascii="宋体" w:hAnsi="宋体" w:cs="宋体"/>
                <w:color w:val="000000"/>
                <w:kern w:val="0"/>
                <w:szCs w:val="21"/>
                <w:lang w:bidi="ar"/>
              </w:rPr>
              <w:t>1.千兆以太网口数≥3个，RJ-45 Console管理口≥1个；</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2.单台设备最大可支持管理AP数≥250个；</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3.支持关联RADIUS、微软AD域、LDAP、数据库（Oracle、MySQL、MS-SQL）、Portal2.0、AS等外置认证服务器，实现802.1x、Portal等第三方认证；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4.★支持应用特征识别库，能够识别不低于6000种的网络应用，包括但不限于：外发文件泄密风险、发送电子邮件、降低工作效率、安全风险等方式；（投标文件提供软件功能截图加以证明）</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5.支持自动生成网络拓扑图，可以直观查看AP和交换机拓扑情况，网络拓补图支持状态信息查看和网络配置下发，方便网络的维护管理；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6.支持管理员分权分级，不同的管理员拥有不同的管理权限，包括精细的页面修改查看权限和接入点管辖权限以及是否允许登陆数据中心等，方便网络的维护管理；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7.★本地转发下支持用户审计，支持审计用户的上网行为；(投标文件中提供第三方出具的检测报告加以证明）;</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8.支持网络控制器逃生功能，当网络控制器宕机后，切换成智能转发模式，依然能保证在线用户的正常上网，并保证新用户也能通过认证连入无线网络；</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9.★支持有线/无线一体化认证，基于用户/用户组进行授权，用户通过有线、无线接入具有相同的认证账号和上网权限;（投标文件中须提供第三方出具的检测报告加以证明）;</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10.支持移动APP运维，通过手机APP即可进行无线状态查看、无线网络管理、访客审核、用户画像、无线广播、告警通知等；</w:t>
            </w:r>
          </w:p>
        </w:tc>
        <w:tc>
          <w:tcPr>
            <w:tcW w:w="477" w:type="pct"/>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480" w:type="pct"/>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48" w:type="pct"/>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w:t>
            </w:r>
          </w:p>
        </w:tc>
        <w:tc>
          <w:tcPr>
            <w:tcW w:w="642" w:type="pct"/>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POE交换机</w:t>
            </w:r>
          </w:p>
        </w:tc>
        <w:tc>
          <w:tcPr>
            <w:tcW w:w="3051" w:type="pct"/>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1.千兆POE电口数≥24个，千兆SFP光口≥4个；Console口≥1个；</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2.支持802.3af/at供电标准，整机最大输出功率370W；</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3.支持全线速转发，交换容量≥336Gbps/3.36Tbps；包转发率≥96Mpps/126Mpps；</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4.★支持最大8组每组端口聚合12个，支持手工和静态LACP（投标文件中提供官网截图及官网链接加以证明）;</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5.支持MAC地址≥8K；支持MAC地址自动学习；支持源MAC地址过滤；支持接口MAC地址学习个数限制；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6.支持传统的STP/RSTP/MSTP二层链路保护技术，极大提高链路的容错、冗余备份能力，保证网络的稳定运行；</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7.支持IEEE 802.3az 标准的 EEE 节能技术：当EEE使能时，从而大幅度的减小端口在该阶段的功耗，达到了节能的目的。</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8.★支持自定义接入终端类型、终端MAC白名单，对于非指定型接入终端可以通过短信通知、手机APP通知，并将终端加入黑名单冻结;（投标文件中须提供软件功能截图加以证明）；</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9.支持防网关 ARP 欺骗；支持端口保护、隔离支持防止ARP 攻击功能；支持 CPU 保护功能；</w:t>
            </w:r>
          </w:p>
        </w:tc>
        <w:tc>
          <w:tcPr>
            <w:tcW w:w="477" w:type="pct"/>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480" w:type="pct"/>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48" w:type="pct"/>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w:t>
            </w:r>
          </w:p>
        </w:tc>
        <w:tc>
          <w:tcPr>
            <w:tcW w:w="642" w:type="pct"/>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无线AP</w:t>
            </w:r>
          </w:p>
        </w:tc>
        <w:tc>
          <w:tcPr>
            <w:tcW w:w="3051" w:type="pct"/>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1.支持802.11ax 协议，兼容802.11a/b/g/n/ac协议，支持2.4G和5G同时工作；</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2.产品提供RJ45网口≥1个；千兆以太网口≥1个，采用三射频设计，支持6条空间流数，整机传输速率3.8Gbps；</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3.支持802.3at标准的PoE供电和本地电源适配器供电两种方式，满负荷工作功耗≤20W；</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4.支持终端智能识别，能够识别出iOS、Android等智能移动终端和PC机，基于无线终端类型的可视化无线网络管理，以及一键网络优化；</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5.支持丰富的服务质量保证（QoS），基于应用/SSID/STA 多种模式的无线空口资源管理，对不同业务数据定义传输优先级等，保障重要 SSID 和重要应用的数据优先传输；</w:t>
            </w:r>
          </w:p>
        </w:tc>
        <w:tc>
          <w:tcPr>
            <w:tcW w:w="477" w:type="pct"/>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480" w:type="pct"/>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48" w:type="pct"/>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w:t>
            </w:r>
          </w:p>
        </w:tc>
        <w:tc>
          <w:tcPr>
            <w:tcW w:w="642" w:type="pct"/>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22U网络机柜</w:t>
            </w:r>
          </w:p>
        </w:tc>
        <w:tc>
          <w:tcPr>
            <w:tcW w:w="3051" w:type="pct"/>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1.22U网络机柜；</w:t>
            </w:r>
          </w:p>
        </w:tc>
        <w:tc>
          <w:tcPr>
            <w:tcW w:w="477" w:type="pct"/>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480" w:type="pct"/>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48" w:type="pct"/>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11</w:t>
            </w:r>
          </w:p>
        </w:tc>
        <w:tc>
          <w:tcPr>
            <w:tcW w:w="642" w:type="pct"/>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移动硬盘</w:t>
            </w:r>
          </w:p>
        </w:tc>
        <w:tc>
          <w:tcPr>
            <w:tcW w:w="3051" w:type="pct"/>
            <w:noWrap w:val="0"/>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技术参数5T</w:t>
            </w:r>
          </w:p>
        </w:tc>
        <w:tc>
          <w:tcPr>
            <w:tcW w:w="477" w:type="pct"/>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w:t>
            </w:r>
          </w:p>
        </w:tc>
        <w:tc>
          <w:tcPr>
            <w:tcW w:w="480" w:type="pct"/>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个</w:t>
            </w:r>
          </w:p>
        </w:tc>
      </w:tr>
    </w:tbl>
    <w:p>
      <w:pPr>
        <w:rPr>
          <w:rFonts w:hint="eastAsia" w:ascii="宋体" w:hAnsi="宋体" w:cs="宋体"/>
        </w:rPr>
      </w:pPr>
    </w:p>
    <w:p>
      <w:pPr>
        <w:pStyle w:val="7"/>
        <w:rPr>
          <w:rFonts w:hint="eastAsia" w:ascii="宋体" w:hAnsi="宋体" w:eastAsia="宋体" w:cs="宋体"/>
        </w:rPr>
      </w:pPr>
      <w:bookmarkStart w:id="11" w:name="_Toc21294"/>
      <w:r>
        <w:rPr>
          <w:rFonts w:hint="eastAsia" w:ascii="宋体" w:hAnsi="宋体" w:eastAsia="宋体" w:cs="宋体"/>
          <w:lang w:val="en-US" w:eastAsia="zh-CN"/>
        </w:rPr>
        <w:t>三</w:t>
      </w:r>
      <w:r>
        <w:rPr>
          <w:rFonts w:hint="eastAsia" w:ascii="宋体" w:hAnsi="宋体" w:eastAsia="宋体" w:cs="宋体"/>
        </w:rPr>
        <w:t>、商务要求</w:t>
      </w:r>
      <w:bookmarkEnd w:id="11"/>
    </w:p>
    <w:tbl>
      <w:tblPr>
        <w:tblStyle w:val="9"/>
        <w:tblW w:w="0" w:type="auto"/>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296"/>
        <w:gridCol w:w="7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szCs w:val="21"/>
              </w:rPr>
            </w:pPr>
            <w:r>
              <w:rPr>
                <w:rFonts w:hint="eastAsia" w:ascii="宋体" w:hAnsi="宋体" w:cs="宋体"/>
                <w:b/>
                <w:bCs/>
                <w:szCs w:val="21"/>
              </w:rPr>
              <w:t>序号</w:t>
            </w:r>
          </w:p>
        </w:tc>
        <w:tc>
          <w:tcPr>
            <w:tcW w:w="1296" w:type="dxa"/>
            <w:tcBorders>
              <w:top w:val="single" w:color="auto" w:sz="4" w:space="0"/>
              <w:left w:val="nil"/>
              <w:bottom w:val="single" w:color="auto" w:sz="4" w:space="0"/>
              <w:right w:val="single" w:color="auto" w:sz="4" w:space="0"/>
            </w:tcBorders>
            <w:noWrap w:val="0"/>
            <w:vAlign w:val="top"/>
          </w:tcPr>
          <w:p>
            <w:pPr>
              <w:rPr>
                <w:rFonts w:hint="eastAsia" w:ascii="宋体" w:hAnsi="宋体" w:cs="宋体"/>
                <w:b/>
                <w:bCs/>
                <w:szCs w:val="21"/>
              </w:rPr>
            </w:pPr>
            <w:r>
              <w:rPr>
                <w:rFonts w:hint="eastAsia" w:ascii="宋体" w:hAnsi="宋体" w:cs="宋体"/>
                <w:b/>
                <w:bCs/>
                <w:szCs w:val="21"/>
              </w:rPr>
              <w:t>内容</w:t>
            </w:r>
          </w:p>
        </w:tc>
        <w:tc>
          <w:tcPr>
            <w:tcW w:w="7032" w:type="dxa"/>
            <w:tcBorders>
              <w:top w:val="single" w:color="auto" w:sz="4" w:space="0"/>
              <w:left w:val="nil"/>
              <w:bottom w:val="single" w:color="auto" w:sz="4" w:space="0"/>
              <w:right w:val="single" w:color="auto" w:sz="4" w:space="0"/>
            </w:tcBorders>
            <w:noWrap w:val="0"/>
            <w:vAlign w:val="top"/>
          </w:tcPr>
          <w:p>
            <w:pPr>
              <w:ind w:firstLine="2673" w:firstLineChars="1268"/>
              <w:rPr>
                <w:rFonts w:hint="eastAsia" w:ascii="宋体" w:hAnsi="宋体" w:cs="宋体"/>
                <w:b/>
                <w:bCs/>
                <w:szCs w:val="21"/>
              </w:rPr>
            </w:pPr>
            <w:r>
              <w:rPr>
                <w:rFonts w:hint="eastAsia" w:ascii="宋体" w:hAnsi="宋体" w:cs="宋体"/>
                <w:b/>
                <w:bCs/>
                <w:szCs w:val="21"/>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1</w:t>
            </w:r>
          </w:p>
        </w:tc>
        <w:tc>
          <w:tcPr>
            <w:tcW w:w="129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质保期</w:t>
            </w:r>
          </w:p>
        </w:tc>
        <w:tc>
          <w:tcPr>
            <w:tcW w:w="7032" w:type="dxa"/>
            <w:tcBorders>
              <w:top w:val="single" w:color="auto" w:sz="4" w:space="0"/>
              <w:left w:val="nil"/>
              <w:bottom w:val="single" w:color="auto" w:sz="4" w:space="0"/>
              <w:right w:val="single" w:color="auto" w:sz="4" w:space="0"/>
            </w:tcBorders>
            <w:noWrap w:val="0"/>
            <w:vAlign w:val="top"/>
          </w:tcPr>
          <w:p>
            <w:pPr>
              <w:spacing w:line="360" w:lineRule="auto"/>
              <w:rPr>
                <w:rFonts w:hint="eastAsia" w:ascii="宋体" w:hAnsi="宋体" w:cs="宋体"/>
                <w:szCs w:val="21"/>
              </w:rPr>
            </w:pPr>
            <w:r>
              <w:rPr>
                <w:rFonts w:hint="eastAsia" w:ascii="宋体" w:hAnsi="宋体" w:cs="宋体"/>
                <w:szCs w:val="21"/>
              </w:rPr>
              <w:t xml:space="preserve">3年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2</w:t>
            </w:r>
          </w:p>
        </w:tc>
        <w:tc>
          <w:tcPr>
            <w:tcW w:w="129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供货要求</w:t>
            </w:r>
          </w:p>
          <w:p>
            <w:pPr>
              <w:jc w:val="center"/>
              <w:rPr>
                <w:rFonts w:hint="eastAsia" w:ascii="宋体" w:hAnsi="宋体" w:cs="宋体"/>
                <w:szCs w:val="21"/>
              </w:rPr>
            </w:pPr>
            <w:r>
              <w:rPr>
                <w:rFonts w:hint="eastAsia" w:ascii="宋体" w:hAnsi="宋体" w:cs="宋体"/>
                <w:szCs w:val="21"/>
              </w:rPr>
              <w:t>（服务类）</w:t>
            </w:r>
          </w:p>
        </w:tc>
        <w:tc>
          <w:tcPr>
            <w:tcW w:w="7032" w:type="dxa"/>
            <w:tcBorders>
              <w:top w:val="single" w:color="auto" w:sz="4" w:space="0"/>
              <w:left w:val="nil"/>
              <w:bottom w:val="single" w:color="auto" w:sz="4" w:space="0"/>
              <w:right w:val="single" w:color="auto" w:sz="4" w:space="0"/>
            </w:tcBorders>
            <w:noWrap w:val="0"/>
            <w:vAlign w:val="top"/>
          </w:tcPr>
          <w:p>
            <w:pPr>
              <w:rPr>
                <w:rFonts w:hint="eastAsia" w:ascii="宋体" w:hAnsi="宋体" w:cs="宋体"/>
                <w:szCs w:val="21"/>
              </w:rPr>
            </w:pPr>
            <w:r>
              <w:rPr>
                <w:rFonts w:hint="eastAsia" w:ascii="宋体" w:hAnsi="宋体" w:cs="宋体"/>
                <w:szCs w:val="21"/>
              </w:rPr>
              <w:t xml:space="preserve">按照采购人要求完成项目供货并进行安装、调试等配套服务，实现采购人远程管理和控制。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3</w:t>
            </w:r>
          </w:p>
        </w:tc>
        <w:tc>
          <w:tcPr>
            <w:tcW w:w="129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售后服务</w:t>
            </w:r>
          </w:p>
        </w:tc>
        <w:tc>
          <w:tcPr>
            <w:tcW w:w="7032" w:type="dxa"/>
            <w:tcBorders>
              <w:top w:val="single" w:color="auto" w:sz="4" w:space="0"/>
              <w:left w:val="nil"/>
              <w:bottom w:val="single" w:color="auto" w:sz="4" w:space="0"/>
              <w:right w:val="single" w:color="auto" w:sz="4" w:space="0"/>
            </w:tcBorders>
            <w:noWrap w:val="0"/>
            <w:vAlign w:val="top"/>
          </w:tcPr>
          <w:p>
            <w:pPr>
              <w:spacing w:line="360" w:lineRule="auto"/>
              <w:rPr>
                <w:rFonts w:hint="eastAsia" w:ascii="宋体" w:hAnsi="宋体" w:cs="宋体"/>
                <w:szCs w:val="21"/>
              </w:rPr>
            </w:pPr>
            <w:r>
              <w:rPr>
                <w:rFonts w:hint="eastAsia" w:ascii="宋体" w:hAnsi="宋体" w:cs="宋体"/>
                <w:szCs w:val="21"/>
              </w:rPr>
              <w:t xml:space="preserve">项目在质保期内项目设备维修、更换及人工等均由成交人支付。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4</w:t>
            </w:r>
          </w:p>
        </w:tc>
        <w:tc>
          <w:tcPr>
            <w:tcW w:w="129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包装要求（货物）</w:t>
            </w:r>
          </w:p>
        </w:tc>
        <w:tc>
          <w:tcPr>
            <w:tcW w:w="7032" w:type="dxa"/>
            <w:tcBorders>
              <w:top w:val="single" w:color="auto" w:sz="4" w:space="0"/>
              <w:left w:val="nil"/>
              <w:bottom w:val="single" w:color="auto" w:sz="4" w:space="0"/>
              <w:right w:val="single" w:color="auto" w:sz="4" w:space="0"/>
            </w:tcBorders>
            <w:noWrap w:val="0"/>
            <w:vAlign w:val="top"/>
          </w:tcPr>
          <w:p>
            <w:pPr>
              <w:rPr>
                <w:rFonts w:hint="eastAsia" w:ascii="宋体" w:hAnsi="宋体" w:cs="宋体"/>
                <w:szCs w:val="21"/>
              </w:rPr>
            </w:pPr>
            <w:r>
              <w:rPr>
                <w:rFonts w:hint="eastAsia" w:ascii="宋体" w:hAnsi="宋体" w:cs="宋体"/>
                <w:kern w:val="0"/>
                <w:szCs w:val="21"/>
              </w:rPr>
              <w:t>除合同另有规定外，成交人提供的全部货物均应按标准保护措施进行包装，涉及木质制品及木制包装材料的（含铺垫、支撑、加固设施设备等），禁止使用和调入松木及其制品。该包装应适应远距离运输、防潮、防震、防锈和防野蛮装卸，确保货物安全无损运抵现场。由于包装不善所引起的货物锈蚀、损坏和损失均由成交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5</w:t>
            </w:r>
          </w:p>
        </w:tc>
        <w:tc>
          <w:tcPr>
            <w:tcW w:w="129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验收</w:t>
            </w:r>
          </w:p>
        </w:tc>
        <w:tc>
          <w:tcPr>
            <w:tcW w:w="7032" w:type="dxa"/>
            <w:tcBorders>
              <w:top w:val="single" w:color="auto" w:sz="4" w:space="0"/>
              <w:left w:val="nil"/>
              <w:bottom w:val="single" w:color="auto" w:sz="4" w:space="0"/>
              <w:right w:val="single" w:color="auto" w:sz="4" w:space="0"/>
            </w:tcBorders>
            <w:noWrap w:val="0"/>
            <w:vAlign w:val="top"/>
          </w:tcPr>
          <w:p>
            <w:pPr>
              <w:spacing w:line="360" w:lineRule="auto"/>
              <w:rPr>
                <w:rFonts w:hint="eastAsia" w:ascii="宋体" w:hAnsi="宋体" w:cs="宋体"/>
                <w:szCs w:val="21"/>
              </w:rPr>
            </w:pPr>
            <w:r>
              <w:rPr>
                <w:rFonts w:hint="eastAsia" w:ascii="宋体" w:hAnsi="宋体" w:cs="宋体"/>
                <w:szCs w:val="21"/>
              </w:rPr>
              <w:t xml:space="preserve"> 由采购人组织验收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kern w:val="0"/>
                <w:szCs w:val="21"/>
              </w:rPr>
            </w:pPr>
            <w:r>
              <w:rPr>
                <w:rFonts w:hint="eastAsia" w:ascii="宋体" w:hAnsi="宋体" w:cs="宋体"/>
                <w:kern w:val="0"/>
                <w:szCs w:val="21"/>
              </w:rPr>
              <w:t>6</w:t>
            </w:r>
          </w:p>
        </w:tc>
        <w:tc>
          <w:tcPr>
            <w:tcW w:w="1296"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kern w:val="0"/>
                <w:szCs w:val="21"/>
              </w:rPr>
            </w:pPr>
            <w:r>
              <w:rPr>
                <w:rFonts w:hint="eastAsia" w:ascii="宋体" w:hAnsi="宋体" w:cs="宋体"/>
                <w:kern w:val="0"/>
                <w:szCs w:val="21"/>
              </w:rPr>
              <w:t>付款</w:t>
            </w:r>
          </w:p>
        </w:tc>
        <w:tc>
          <w:tcPr>
            <w:tcW w:w="7032" w:type="dxa"/>
            <w:tcBorders>
              <w:top w:val="single" w:color="auto" w:sz="4" w:space="0"/>
              <w:left w:val="nil"/>
              <w:bottom w:val="single" w:color="auto" w:sz="4" w:space="0"/>
              <w:right w:val="single" w:color="auto" w:sz="4" w:space="0"/>
            </w:tcBorders>
            <w:noWrap w:val="0"/>
            <w:vAlign w:val="top"/>
          </w:tcPr>
          <w:p>
            <w:pPr>
              <w:rPr>
                <w:rFonts w:hint="eastAsia" w:ascii="宋体" w:hAnsi="宋体" w:cs="宋体"/>
                <w:kern w:val="0"/>
                <w:szCs w:val="21"/>
              </w:rPr>
            </w:pPr>
            <w:r>
              <w:rPr>
                <w:rFonts w:hint="eastAsia" w:ascii="宋体" w:hAnsi="宋体" w:cs="宋体"/>
                <w:kern w:val="0"/>
                <w:szCs w:val="21"/>
              </w:rPr>
              <w:t xml:space="preserve">付款人：宿州市产业投资控股集团有限公司 </w:t>
            </w:r>
          </w:p>
          <w:p>
            <w:pPr>
              <w:rPr>
                <w:rFonts w:hint="eastAsia" w:ascii="宋体" w:hAnsi="宋体" w:cs="宋体"/>
                <w:kern w:val="0"/>
                <w:szCs w:val="21"/>
              </w:rPr>
            </w:pPr>
            <w:r>
              <w:rPr>
                <w:rFonts w:hint="eastAsia" w:ascii="宋体" w:hAnsi="宋体" w:cs="宋体"/>
                <w:kern w:val="0"/>
                <w:szCs w:val="21"/>
              </w:rPr>
              <w:t xml:space="preserve">付款方式：验收合格后一次性付清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7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kern w:val="0"/>
                <w:szCs w:val="21"/>
              </w:rPr>
            </w:pPr>
            <w:r>
              <w:rPr>
                <w:rFonts w:hint="eastAsia" w:ascii="宋体" w:hAnsi="宋体" w:cs="宋体"/>
                <w:kern w:val="0"/>
                <w:szCs w:val="21"/>
              </w:rPr>
              <w:t>7</w:t>
            </w:r>
          </w:p>
        </w:tc>
        <w:tc>
          <w:tcPr>
            <w:tcW w:w="1296"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kern w:val="0"/>
                <w:szCs w:val="21"/>
              </w:rPr>
            </w:pPr>
            <w:r>
              <w:rPr>
                <w:rFonts w:hint="eastAsia" w:ascii="宋体" w:hAnsi="宋体" w:cs="宋体"/>
                <w:kern w:val="0"/>
                <w:szCs w:val="21"/>
              </w:rPr>
              <w:t>履约保证金</w:t>
            </w:r>
          </w:p>
        </w:tc>
        <w:tc>
          <w:tcPr>
            <w:tcW w:w="7032" w:type="dxa"/>
            <w:tcBorders>
              <w:top w:val="single" w:color="auto" w:sz="4" w:space="0"/>
              <w:left w:val="nil"/>
              <w:bottom w:val="single" w:color="auto" w:sz="4" w:space="0"/>
              <w:right w:val="single" w:color="auto" w:sz="4" w:space="0"/>
            </w:tcBorders>
            <w:noWrap w:val="0"/>
            <w:vAlign w:val="top"/>
          </w:tcPr>
          <w:p>
            <w:pPr>
              <w:rPr>
                <w:rFonts w:hint="eastAsia" w:ascii="宋体" w:hAnsi="宋体" w:cs="宋体"/>
                <w:kern w:val="0"/>
                <w:szCs w:val="21"/>
              </w:rPr>
            </w:pPr>
            <w:r>
              <w:rPr>
                <w:rFonts w:hint="eastAsia" w:ascii="宋体" w:hAnsi="宋体" w:cs="宋体"/>
                <w:kern w:val="0"/>
                <w:szCs w:val="21"/>
              </w:rPr>
              <w:t>签订合同前向采购人缴纳中标价2%履约保证金。（政府采购货物和服务项目履约保证金最高缴纳比例不超过合同金额的2.5%）</w:t>
            </w:r>
          </w:p>
          <w:p>
            <w:pPr>
              <w:rPr>
                <w:rFonts w:hint="eastAsia" w:ascii="宋体" w:hAnsi="宋体" w:cs="宋体"/>
                <w:kern w:val="0"/>
                <w:szCs w:val="21"/>
              </w:rPr>
            </w:pPr>
            <w:r>
              <w:rPr>
                <w:rFonts w:hint="eastAsia" w:ascii="宋体" w:hAnsi="宋体" w:cs="宋体"/>
                <w:kern w:val="0"/>
                <w:szCs w:val="21"/>
              </w:rPr>
              <w:t>履约保证金形式：转账、电汇、保函。</w:t>
            </w:r>
          </w:p>
          <w:p>
            <w:pPr>
              <w:rPr>
                <w:rFonts w:hint="eastAsia"/>
              </w:rPr>
            </w:pPr>
            <w:r>
              <w:t>签订合同前（发出中标通知书后30日内）中标人向招标人缴纳中标价2%履约保证金，双方本着平等自愿原则，在签订合同前协商提供履约保证的形式，并在合同中具体约定履约保证的具体措施。中标人未按规定期间提供履约保证的，取消中标资格。</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A66231"/>
    <w:multiLevelType w:val="singleLevel"/>
    <w:tmpl w:val="CBA6623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1MjUzYmJiYzY0MzZiNWZkZmI0OTZjZWEwOWVlYzYifQ=="/>
  </w:docVars>
  <w:rsids>
    <w:rsidRoot w:val="229735B9"/>
    <w:rsid w:val="229735B9"/>
    <w:rsid w:val="6DC24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7">
    <w:name w:val="heading 2"/>
    <w:basedOn w:val="1"/>
    <w:next w:val="1"/>
    <w:qFormat/>
    <w:uiPriority w:val="0"/>
    <w:pPr>
      <w:keepNext/>
      <w:keepLines/>
      <w:spacing w:before="260" w:after="260" w:line="416" w:lineRule="auto"/>
      <w:ind w:firstLine="628"/>
      <w:jc w:val="center"/>
      <w:outlineLvl w:val="1"/>
    </w:pPr>
    <w:rPr>
      <w:rFonts w:ascii="Arial" w:hAnsi="Arial" w:eastAsia="黑体"/>
      <w:b/>
      <w:bCs/>
      <w:kern w:val="0"/>
      <w:sz w:val="32"/>
      <w:szCs w:val="32"/>
    </w:rPr>
  </w:style>
  <w:style w:type="paragraph" w:styleId="8">
    <w:name w:val="heading 3"/>
    <w:basedOn w:val="1"/>
    <w:next w:val="1"/>
    <w:qFormat/>
    <w:uiPriority w:val="0"/>
    <w:pPr>
      <w:keepNext/>
      <w:keepLines/>
      <w:spacing w:before="260" w:after="260" w:line="416" w:lineRule="auto"/>
      <w:jc w:val="center"/>
      <w:outlineLvl w:val="2"/>
    </w:pPr>
    <w:rPr>
      <w:rFonts w:ascii="宋体" w:hAnsi="Times New Roman"/>
      <w:b/>
      <w:bCs/>
      <w:kern w:val="0"/>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spacing w:after="120" w:line="240" w:lineRule="auto"/>
      <w:ind w:left="420" w:leftChars="200" w:firstLine="420" w:firstLineChars="200"/>
    </w:pPr>
  </w:style>
  <w:style w:type="paragraph" w:styleId="3">
    <w:name w:val="Body Text Indent"/>
    <w:basedOn w:val="1"/>
    <w:next w:val="4"/>
    <w:qFormat/>
    <w:uiPriority w:val="0"/>
    <w:pPr>
      <w:ind w:firstLine="645"/>
    </w:pPr>
    <w:rPr>
      <w:rFonts w:ascii="楷体_GB2312" w:hAnsi="Times New Roman" w:eastAsia="楷体_GB2312"/>
      <w:kern w:val="0"/>
      <w:sz w:val="32"/>
      <w:szCs w:val="20"/>
    </w:rPr>
  </w:style>
  <w:style w:type="paragraph" w:styleId="4">
    <w:name w:val="envelope return"/>
    <w:basedOn w:val="1"/>
    <w:qFormat/>
    <w:uiPriority w:val="0"/>
    <w:pPr>
      <w:snapToGrid w:val="0"/>
    </w:pPr>
    <w:rPr>
      <w:rFonts w:ascii="Arial" w:hAnsi="Arial" w:cs="Arial"/>
      <w:sz w:val="21"/>
      <w:szCs w:val="24"/>
    </w:rPr>
  </w:style>
  <w:style w:type="paragraph" w:styleId="5">
    <w:name w:val="Body Text First Indent"/>
    <w:basedOn w:val="6"/>
    <w:next w:val="1"/>
    <w:qFormat/>
    <w:uiPriority w:val="0"/>
    <w:pPr>
      <w:autoSpaceDE w:val="0"/>
      <w:autoSpaceDN w:val="0"/>
      <w:adjustRightInd w:val="0"/>
      <w:spacing w:line="360" w:lineRule="auto"/>
      <w:ind w:right="-24" w:rightChars="-10" w:firstLine="425" w:firstLineChars="225"/>
    </w:pPr>
    <w:rPr>
      <w:rFonts w:ascii="Arial" w:eastAsia="仿宋_GB2312"/>
      <w:sz w:val="24"/>
      <w:szCs w:val="32"/>
    </w:rPr>
  </w:style>
  <w:style w:type="paragraph" w:styleId="6">
    <w:name w:val="Body Text"/>
    <w:basedOn w:val="1"/>
    <w:next w:val="1"/>
    <w:qFormat/>
    <w:uiPriority w:val="0"/>
    <w:rPr>
      <w:rFonts w:ascii="宋体" w:hAnsi="Arial"/>
      <w:kern w:val="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2023-12-14T04:30:00Z</dcterms:created>
  <dc:creator>WPS_1654123239</dc:creator>
  <cp:lastModifiedBy>默默</cp:lastModifiedBy>
  <dcterms:modified xsi:type="dcterms:W3CDTF">2023-12-15T03:00:01Z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8ED78C3283414CF986C5F210CECF60FE_13</vt:lpwstr>
  </property>
</Properties>
</file>